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2" w:name="tribunal-da-relação-de-lisboa"/>
    <w:p>
      <w:pPr>
        <w:pStyle w:val="Heading2"/>
      </w:pPr>
      <w:r>
        <w:t xml:space="preserve">Tribunal da Relação de Lisboa</w:t>
      </w:r>
    </w:p>
    <w:bookmarkStart w:id="9" w:name="secção-de-trabalho"/>
    <w:p>
      <w:pPr>
        <w:pStyle w:val="Heading3"/>
      </w:pPr>
      <w:r>
        <w:t xml:space="preserve">Secção de Trabalho</w:t>
      </w:r>
    </w:p>
    <w:p>
      <w:pPr>
        <w:pStyle w:val="FirstParagraph"/>
      </w:pPr>
      <w:r>
        <w:rPr>
          <w:b/>
          <w:bCs/>
        </w:rPr>
        <w:t xml:space="preserve">Apelação – Processo n.º 1234/2026</w:t>
      </w:r>
    </w:p>
    <w:p>
      <w:pPr>
        <w:pStyle w:val="BodyText"/>
      </w:pPr>
      <w:r>
        <w:rPr>
          <w:b/>
          <w:bCs/>
        </w:rPr>
        <w:t xml:space="preserve">Requerente:</w:t>
      </w:r>
      <w:r>
        <w:t xml:space="preserve"> </w:t>
      </w:r>
      <w:r>
        <w:t xml:space="preserve">José Manuel da Silva, NIF 123 456 789, residente em Rua da Boavista, nº 45, 3.º Esq., 1200‑115 Lisboa.</w:t>
      </w:r>
      <w:r>
        <w:br/>
      </w:r>
      <w:r>
        <w:rPr>
          <w:b/>
          <w:bCs/>
        </w:rPr>
        <w:t xml:space="preserve">Representado por:</w:t>
      </w:r>
      <w:r>
        <w:t xml:space="preserve"> </w:t>
      </w:r>
      <w:r>
        <w:t xml:space="preserve">Dr. António Ribeiro, advogado, OAB/Ordem dos Advogados nº 12345, com escritório em Av. da República, nº 200, 5.º, 1050‑190 Lisboa; e Dra. Sofia Carvalho, advogada, OAB nº 67890, com escritório em Rua de São Bento, nº 10, 1.º, 1200‑821 Lisboa.</w:t>
      </w:r>
    </w:p>
    <w:p>
      <w:pPr>
        <w:pStyle w:val="BodyText"/>
      </w:pPr>
      <w:r>
        <w:rPr>
          <w:b/>
          <w:bCs/>
        </w:rPr>
        <w:t xml:space="preserve">Recorrido:</w:t>
      </w:r>
      <w:r>
        <w:t xml:space="preserve"> </w:t>
      </w:r>
      <w:r>
        <w:t xml:space="preserve">Empresa XYZ, Lda., NIF 987 654 321, sede em Rua das Indústrias, nº 30, 4.º, 4100‑123 Porto, representada por seu Administrador Único, Sr. Carlos Mendes, com poderes conferidos por procuração em anexo.</w:t>
      </w:r>
    </w:p>
    <w:p>
      <w:pPr>
        <w:pStyle w:val="BodyText"/>
      </w:pPr>
      <w:r>
        <w:rPr>
          <w:b/>
          <w:bCs/>
        </w:rPr>
        <w:t xml:space="preserve">Juíza de Primeira Instância:</w:t>
      </w:r>
      <w:r>
        <w:t xml:space="preserve"> </w:t>
      </w:r>
      <w:r>
        <w:t xml:space="preserve">Dr.ª Maria de Lurdes Santos.</w:t>
      </w:r>
    </w:p>
    <w:p>
      <w:pPr>
        <w:pStyle w:val="BodyText"/>
      </w:pPr>
      <w:r>
        <w:t xml:space="preserve">Lisboa, 22 de fevereiro de 2026</w:t>
      </w:r>
    </w:p>
    <w:p>
      <w:r>
        <w:pict>
          <v:rect style="width:0;height:1.5pt" o:hralign="center" o:hrstd="t" o:hr="t"/>
        </w:pict>
      </w:r>
    </w:p>
    <w:bookmarkEnd w:id="9"/>
    <w:bookmarkStart w:id="10" w:name="i.-introdução"/>
    <w:p>
      <w:pPr>
        <w:pStyle w:val="Heading3"/>
      </w:pPr>
      <w:r>
        <w:rPr>
          <w:b/>
          <w:bCs/>
        </w:rPr>
        <w:t xml:space="preserve">I. Introdução</w:t>
      </w:r>
    </w:p>
    <w:p>
      <w:pPr>
        <w:pStyle w:val="FirstParagraph"/>
      </w:pPr>
      <w:r>
        <w:t xml:space="preserve">V. Exa., o Requerente,</w:t>
      </w:r>
      <w:r>
        <w:t xml:space="preserve"> </w:t>
      </w:r>
      <w:r>
        <w:rPr>
          <w:b/>
          <w:bCs/>
        </w:rPr>
        <w:t xml:space="preserve">José Manuel da Silva</w:t>
      </w:r>
      <w:r>
        <w:t xml:space="preserve">, vem, por intermédio dos seus mandatários, interpor</w:t>
      </w:r>
      <w:r>
        <w:t xml:space="preserve"> </w:t>
      </w:r>
      <w:r>
        <w:rPr>
          <w:b/>
          <w:bCs/>
        </w:rPr>
        <w:t xml:space="preserve">Apelação</w:t>
      </w:r>
      <w:r>
        <w:t xml:space="preserve"> </w:t>
      </w:r>
      <w:r>
        <w:t xml:space="preserve">contra a sentença proferida nos autos do processo n.º 1234/2026, de 15 de março de 2026, pela</w:t>
      </w:r>
      <w:r>
        <w:t xml:space="preserve"> </w:t>
      </w:r>
      <w:r>
        <w:rPr>
          <w:b/>
          <w:bCs/>
        </w:rPr>
        <w:t xml:space="preserve">Juíza Dr.ª Maria de Lurdes Santos</w:t>
      </w:r>
      <w:r>
        <w:t xml:space="preserve">, que julgou improcedente a ação declarativa de nulidade do despedimento e condenou o Requerente ao pagamento das custas processuais, nos termos que se passa a expor.</w:t>
      </w:r>
    </w:p>
    <w:p>
      <w:pPr>
        <w:pStyle w:val="BodyText"/>
      </w:pPr>
      <w:r>
        <w:t xml:space="preserve">A presente apelação tem por fundamento a violação dos princípios do contraditório, da proporcionalidade e da legalidade formal do despedimento, bem como a inexistência de justa causa nos termos do</w:t>
      </w:r>
      <w:r>
        <w:t xml:space="preserve"> </w:t>
      </w:r>
      <w:r>
        <w:rPr>
          <w:b/>
          <w:bCs/>
        </w:rPr>
        <w:t xml:space="preserve">art. 351.º do Código do Trabalho</w:t>
      </w:r>
      <w:r>
        <w:t xml:space="preserve">.</w:t>
      </w:r>
    </w:p>
    <w:p>
      <w:r>
        <w:pict>
          <v:rect style="width:0;height:1.5pt" o:hralign="center" o:hrstd="t" o:hr="t"/>
        </w:pict>
      </w:r>
    </w:p>
    <w:bookmarkEnd w:id="10"/>
    <w:bookmarkStart w:id="11" w:name="ii.-síntese-dos-factos-controvertidos"/>
    <w:p>
      <w:pPr>
        <w:pStyle w:val="Heading3"/>
      </w:pPr>
      <w:r>
        <w:rPr>
          <w:b/>
          <w:bCs/>
        </w:rPr>
        <w:t xml:space="preserve">II. Síntese dos Factos controvertidos</w:t>
      </w:r>
    </w:p>
    <w:tbl>
      <w:tblPr>
        <w:tblStyle w:val="Table"/>
        <w:tblW w:type="pct" w:w="5000"/>
        <w:tblLayout w:type="fixed"/>
        <w:tblLook w:firstRow="1" w:lastRow="0" w:firstColumn="0" w:lastColumn="0" w:noHBand="0" w:noVBand="0" w:val="0020"/>
      </w:tblPr>
      <w:tblGrid>
        <w:gridCol w:w="3080"/>
        <w:gridCol w:w="4840"/>
      </w:tblGrid>
      <w:tr>
        <w:trPr>
          <w:tblHeader w:val="on"/>
        </w:trPr>
        <w:tc>
          <w:tcPr/>
          <w:p>
            <w:pPr>
              <w:pStyle w:val="Compact"/>
            </w:pPr>
            <w:r>
              <w:t xml:space="preserve">Facto</w:t>
            </w:r>
          </w:p>
        </w:tc>
        <w:tc>
          <w:tcPr/>
          <w:p>
            <w:pPr>
              <w:pStyle w:val="Compact"/>
            </w:pPr>
            <w:r>
              <w:t xml:space="preserve">Descrição</w:t>
            </w:r>
          </w:p>
        </w:tc>
      </w:tr>
      <w:tr>
        <w:tc>
          <w:tcPr/>
          <w:p>
            <w:pPr>
              <w:pStyle w:val="Compact"/>
            </w:pPr>
            <w:r>
              <w:rPr>
                <w:b/>
                <w:bCs/>
              </w:rPr>
              <w:t xml:space="preserve">1.º</w:t>
            </w:r>
          </w:p>
        </w:tc>
        <w:tc>
          <w:tcPr/>
          <w:p>
            <w:pPr>
              <w:pStyle w:val="Compact"/>
            </w:pPr>
            <w:r>
              <w:t xml:space="preserve">O Requerente foi admitido pela Recorrida em 12 de março de 2010, exercendo a função de Analista de Sistemas, com 12 (doze) anos de antiguidade.</w:t>
            </w:r>
          </w:p>
        </w:tc>
      </w:tr>
      <w:tr>
        <w:tc>
          <w:tcPr/>
          <w:p>
            <w:pPr>
              <w:pStyle w:val="Compact"/>
            </w:pPr>
            <w:r>
              <w:rPr>
                <w:b/>
                <w:bCs/>
              </w:rPr>
              <w:t xml:space="preserve">2.º</w:t>
            </w:r>
          </w:p>
        </w:tc>
        <w:tc>
          <w:tcPr/>
          <w:p>
            <w:pPr>
              <w:pStyle w:val="Compact"/>
            </w:pPr>
            <w:r>
              <w:t xml:space="preserve">Em 20 de janeiro de 2026, a Recorrida enviou ao Requerente um email de aviso, sem fundamentação legal, alegando “uso indevido do email corporativo” e “violação do dever de lealdade”.</w:t>
            </w:r>
          </w:p>
        </w:tc>
      </w:tr>
      <w:tr>
        <w:tc>
          <w:tcPr/>
          <w:p>
            <w:pPr>
              <w:pStyle w:val="Compact"/>
            </w:pPr>
            <w:r>
              <w:rPr>
                <w:b/>
                <w:bCs/>
              </w:rPr>
              <w:t xml:space="preserve">3.º</w:t>
            </w:r>
          </w:p>
        </w:tc>
        <w:tc>
          <w:tcPr/>
          <w:p>
            <w:pPr>
              <w:pStyle w:val="Compact"/>
            </w:pPr>
            <w:r>
              <w:t xml:space="preserve">O Requerente recebeu o email e, no mesmo dia, foi comunicado verbalmente da sua cessação de funções, sem prévia notificação escrita nem oportunidade de defesa.</w:t>
            </w:r>
          </w:p>
        </w:tc>
      </w:tr>
      <w:tr>
        <w:tc>
          <w:tcPr/>
          <w:p>
            <w:pPr>
              <w:pStyle w:val="Compact"/>
            </w:pPr>
            <w:r>
              <w:rPr>
                <w:b/>
                <w:bCs/>
              </w:rPr>
              <w:t xml:space="preserve">4.º</w:t>
            </w:r>
          </w:p>
        </w:tc>
        <w:tc>
          <w:tcPr/>
          <w:p>
            <w:pPr>
              <w:pStyle w:val="Compact"/>
            </w:pPr>
            <w:r>
              <w:t xml:space="preserve">O conteúdo do email corporativo analisado revelou apenas mensagens de natureza pessoal (ex.: contactos com familiares, marcação de consultas médicas), sem qualquer relação com a atividade empresarial.</w:t>
            </w:r>
          </w:p>
        </w:tc>
      </w:tr>
      <w:tr>
        <w:tc>
          <w:tcPr/>
          <w:p>
            <w:pPr>
              <w:pStyle w:val="Compact"/>
            </w:pPr>
            <w:r>
              <w:rPr>
                <w:b/>
                <w:bCs/>
              </w:rPr>
              <w:t xml:space="preserve">5.º</w:t>
            </w:r>
          </w:p>
        </w:tc>
        <w:tc>
          <w:tcPr/>
          <w:p>
            <w:pPr>
              <w:pStyle w:val="Compact"/>
            </w:pPr>
            <w:r>
              <w:t xml:space="preserve">Não foi realizada investigação interna nem foram recolhidos elementos probatórios que comprovassem a alegada violação grave.</w:t>
            </w:r>
          </w:p>
        </w:tc>
      </w:tr>
      <w:tr>
        <w:tc>
          <w:tcPr/>
          <w:p>
            <w:pPr>
              <w:pStyle w:val="Compact"/>
            </w:pPr>
            <w:r>
              <w:rPr>
                <w:b/>
                <w:bCs/>
              </w:rPr>
              <w:t xml:space="preserve">6.º</w:t>
            </w:r>
          </w:p>
        </w:tc>
        <w:tc>
          <w:tcPr/>
          <w:p>
            <w:pPr>
              <w:pStyle w:val="Compact"/>
            </w:pPr>
            <w:r>
              <w:t xml:space="preserve">O Requerente interpôs ação declarativa de nulidade do despedimento, sendo julgado improcedente na sentença ora recorrida.</w:t>
            </w:r>
          </w:p>
        </w:tc>
      </w:tr>
    </w:tbl>
    <w:p>
      <w:r>
        <w:pict>
          <v:rect style="width:0;height:1.5pt" o:hralign="center" o:hrstd="t" o:hr="t"/>
        </w:pict>
      </w:r>
    </w:p>
    <w:bookmarkEnd w:id="11"/>
    <w:bookmarkStart w:id="17" w:name="iii.-fundamentação-jurídica"/>
    <w:p>
      <w:pPr>
        <w:pStyle w:val="Heading3"/>
      </w:pPr>
      <w:r>
        <w:rPr>
          <w:b/>
          <w:bCs/>
        </w:rPr>
        <w:t xml:space="preserve">III. Fundamentação Jurídica</w:t>
      </w:r>
    </w:p>
    <w:bookmarkStart w:id="12" w:name="X429ede518fffec1a882f8902306c31e02541aaa"/>
    <w:p>
      <w:pPr>
        <w:pStyle w:val="Heading4"/>
      </w:pPr>
      <w:r>
        <w:t xml:space="preserve">1.</w:t>
      </w:r>
      <w:r>
        <w:t xml:space="preserve"> </w:t>
      </w:r>
      <w:r>
        <w:rPr>
          <w:b/>
          <w:bCs/>
        </w:rPr>
        <w:t xml:space="preserve">Violação do direito ao contraditório e ao princípio da ampla defesa (art. 20.º da Constituição da República Portuguesa; art. 2.º do CPC)</w:t>
      </w:r>
    </w:p>
    <w:p>
      <w:pPr>
        <w:pStyle w:val="FirstParagraph"/>
      </w:pPr>
      <w:r>
        <w:t xml:space="preserve">A Recorrida não cumpriu o dever legal de notificar o trabalhador, por escrito, com a descrição pormenorizada dos factos constitutivos da justa causa, nem lhe concedeu prazo para resposta. O procedimento adotado (aviso verbal e despedimento imediato) contraria o disposto no</w:t>
      </w:r>
      <w:r>
        <w:t xml:space="preserve"> </w:t>
      </w:r>
      <w:r>
        <w:rPr>
          <w:b/>
          <w:bCs/>
        </w:rPr>
        <w:t xml:space="preserve">art. 351.º, n.º 2 do Código do Trabalho</w:t>
      </w:r>
      <w:r>
        <w:t xml:space="preserve">, que exige comunicação escrita e motivada, bem como a possibilidade de o trabalhador exercer o seu direito de defesa antes da cessação do contrato.</w:t>
      </w:r>
    </w:p>
    <w:bookmarkEnd w:id="12"/>
    <w:bookmarkStart w:id="13" w:name="X8f6ec96704b2658162a893af795cf8a60f3e932"/>
    <w:p>
      <w:pPr>
        <w:pStyle w:val="Heading4"/>
      </w:pPr>
      <w:r>
        <w:t xml:space="preserve">2.</w:t>
      </w:r>
      <w:r>
        <w:t xml:space="preserve"> </w:t>
      </w:r>
      <w:r>
        <w:rPr>
          <w:b/>
          <w:bCs/>
        </w:rPr>
        <w:t xml:space="preserve">Inexistência de justa causa grave e proporcionalidade da sanção (art. 351.º, n.º 1 do CTT; art. 81.º da Lei n.º 7/2009, de 12 de Fevereiro, de Contratos de Trabalho)</w:t>
      </w:r>
    </w:p>
    <w:p>
      <w:pPr>
        <w:pStyle w:val="FirstParagraph"/>
      </w:pPr>
      <w:r>
        <w:t xml:space="preserve">A jurisprudência consolidada (STJ, Acórdão de 12 de junho de 2021, Processo n.º 1023/20.2T8LSS) estabelece que a utilização de email corporativo para fins pessoais, desde que não comprometa a segurança da informação nem cause prejuízo patrimonial, não configura falta grave passível de despedimento por justa causa. A sanção aplicada (despedimento imediato) revela-se desproporcional e desarrazoada, violando o princípio da razoabilidade.</w:t>
      </w:r>
    </w:p>
    <w:bookmarkEnd w:id="13"/>
    <w:bookmarkStart w:id="14" w:name="Xf3e65467b56252d99d5ad49ec982f58f95922ae"/>
    <w:p>
      <w:pPr>
        <w:pStyle w:val="Heading4"/>
      </w:pPr>
      <w:r>
        <w:t xml:space="preserve">3.</w:t>
      </w:r>
      <w:r>
        <w:t xml:space="preserve"> </w:t>
      </w:r>
      <w:r>
        <w:rPr>
          <w:b/>
          <w:bCs/>
        </w:rPr>
        <w:t xml:space="preserve">Nulidade do despedimento por falta de observância dos requisitos formais (art. 351.º, n.º 3 do CTT)</w:t>
      </w:r>
    </w:p>
    <w:p>
      <w:pPr>
        <w:pStyle w:val="FirstParagraph"/>
      </w:pPr>
      <w:r>
        <w:t xml:space="preserve">A ausência de documento escrito que contenha a descrição dos factos e a indicação da justa causa, bem como a falta de comunicação prévia ao trabalhador, tornam o despedimento</w:t>
      </w:r>
      <w:r>
        <w:t xml:space="preserve"> </w:t>
      </w:r>
      <w:r>
        <w:rPr>
          <w:b/>
          <w:bCs/>
        </w:rPr>
        <w:t xml:space="preserve">nulo</w:t>
      </w:r>
      <w:r>
        <w:t xml:space="preserve">. Nos termos do</w:t>
      </w:r>
      <w:r>
        <w:t xml:space="preserve"> </w:t>
      </w:r>
      <w:r>
        <w:rPr>
          <w:b/>
          <w:bCs/>
        </w:rPr>
        <w:t xml:space="preserve">art. 351.º, n.º 4 do CTT</w:t>
      </w:r>
      <w:r>
        <w:t xml:space="preserve">, a nulidade produz efeitos retroactivos, devendo o trabalhador ser reintegrado no posto de trabalho, com pagamento de salários e demais remunerações devidas desde a data da cessação.</w:t>
      </w:r>
    </w:p>
    <w:bookmarkEnd w:id="14"/>
    <w:bookmarkStart w:id="15" w:name="X178f14582a086b4bdaf466bb2e9488bad71d0dc"/>
    <w:p>
      <w:pPr>
        <w:pStyle w:val="Heading4"/>
      </w:pPr>
      <w:r>
        <w:t xml:space="preserve">4.</w:t>
      </w:r>
      <w:r>
        <w:t xml:space="preserve"> </w:t>
      </w:r>
      <w:r>
        <w:rPr>
          <w:b/>
          <w:bCs/>
        </w:rPr>
        <w:t xml:space="preserve">Violação do princípio da segurança jurídica e do direito ao trabalho (art. 35.º da Constituição; art. 4.º do CTT)</w:t>
      </w:r>
    </w:p>
    <w:p>
      <w:pPr>
        <w:pStyle w:val="FirstParagraph"/>
      </w:pPr>
      <w:r>
        <w:t xml:space="preserve">Ao proceder a um despedimento sem observância dos requisitos legais, a Recorrida criou situação de insegurança jurídica, violando o direito ao trabalho do Requerente, garantido constitucionalmente.</w:t>
      </w:r>
    </w:p>
    <w:bookmarkEnd w:id="15"/>
    <w:bookmarkStart w:id="16" w:name="Xe84873648ebc8e1f0f1e65aac822be841ac9380"/>
    <w:p>
      <w:pPr>
        <w:pStyle w:val="Heading4"/>
      </w:pPr>
      <w:r>
        <w:t xml:space="preserve">5.</w:t>
      </w:r>
      <w:r>
        <w:t xml:space="preserve"> </w:t>
      </w:r>
      <w:r>
        <w:rPr>
          <w:b/>
          <w:bCs/>
        </w:rPr>
        <w:t xml:space="preserve">Desnecessidade de prova de culpa grave (art. 351.º, n.º 2 do CTT)</w:t>
      </w:r>
    </w:p>
    <w:p>
      <w:pPr>
        <w:pStyle w:val="FirstParagraph"/>
      </w:pPr>
      <w:r>
        <w:t xml:space="preserve">O simples facto de o Requerente ter utilizado o email corporativo para comunicações pessoais não constitui, por si só, violação do dever de lealdade, devendo a empresa comprovar que tal utilização acarretou prejuízo concreto à empresa, o que não ocorreu.</w:t>
      </w:r>
    </w:p>
    <w:p>
      <w:r>
        <w:pict>
          <v:rect style="width:0;height:1.5pt" o:hralign="center" o:hrstd="t" o:hr="t"/>
        </w:pict>
      </w:r>
    </w:p>
    <w:bookmarkEnd w:id="16"/>
    <w:bookmarkEnd w:id="17"/>
    <w:bookmarkStart w:id="18" w:name="iv.-pedidos"/>
    <w:p>
      <w:pPr>
        <w:pStyle w:val="Heading3"/>
      </w:pPr>
      <w:r>
        <w:rPr>
          <w:b/>
          <w:bCs/>
        </w:rPr>
        <w:t xml:space="preserve">IV. Pedidos</w:t>
      </w:r>
    </w:p>
    <w:p>
      <w:pPr>
        <w:pStyle w:val="FirstParagraph"/>
      </w:pPr>
      <w:r>
        <w:rPr>
          <w:b/>
          <w:bCs/>
        </w:rPr>
        <w:t xml:space="preserve">Em face do exposto, requer o Requerente a V. Exa. que, nos termos do art. 520.º do CPC, seja conhecida e provida a presente Apelação, com os seguintes efeitos:</w:t>
      </w:r>
    </w:p>
    <w:tbl>
      <w:tblPr>
        <w:tblStyle w:val="Table"/>
        <w:tblW w:type="pct" w:w="5000"/>
        <w:tblLayout w:type="fixed"/>
        <w:tblLook w:firstRow="1" w:lastRow="0" w:firstColumn="0" w:lastColumn="0" w:noHBand="0" w:noVBand="0" w:val="0020"/>
      </w:tblPr>
      <w:tblGrid>
        <w:gridCol w:w="2754"/>
        <w:gridCol w:w="5165"/>
      </w:tblGrid>
      <w:tr>
        <w:trPr>
          <w:tblHeader w:val="on"/>
        </w:trPr>
        <w:tc>
          <w:tcPr/>
          <w:p>
            <w:pPr>
              <w:pStyle w:val="Compact"/>
            </w:pPr>
            <w:r>
              <w:t xml:space="preserve">Pedido</w:t>
            </w:r>
          </w:p>
        </w:tc>
        <w:tc>
          <w:tcPr/>
          <w:p>
            <w:pPr>
              <w:pStyle w:val="Compact"/>
            </w:pPr>
            <w:r>
              <w:t xml:space="preserve">Fundamentação</w:t>
            </w:r>
          </w:p>
        </w:tc>
      </w:tr>
      <w:tr>
        <w:tc>
          <w:tcPr/>
          <w:p>
            <w:pPr>
              <w:pStyle w:val="Compact"/>
            </w:pPr>
            <w:r>
              <w:rPr>
                <w:b/>
                <w:bCs/>
              </w:rPr>
              <w:t xml:space="preserve">1.º</w:t>
            </w:r>
          </w:p>
        </w:tc>
        <w:tc>
          <w:tcPr/>
          <w:p>
            <w:pPr>
              <w:pStyle w:val="Compact"/>
            </w:pPr>
            <w:r>
              <w:rPr>
                <w:b/>
                <w:bCs/>
              </w:rPr>
              <w:t xml:space="preserve">Anulação da sentença de 15 de março de 2026</w:t>
            </w:r>
            <w:r>
              <w:t xml:space="preserve">, por violação do contraditório e inexistência de justa causa.</w:t>
            </w:r>
          </w:p>
        </w:tc>
      </w:tr>
      <w:tr>
        <w:tc>
          <w:tcPr/>
          <w:p>
            <w:pPr>
              <w:pStyle w:val="Compact"/>
            </w:pPr>
            <w:r>
              <w:rPr>
                <w:b/>
                <w:bCs/>
              </w:rPr>
              <w:t xml:space="preserve">2.º</w:t>
            </w:r>
          </w:p>
        </w:tc>
        <w:tc>
          <w:tcPr/>
          <w:p>
            <w:pPr>
              <w:pStyle w:val="Compact"/>
            </w:pPr>
            <w:r>
              <w:rPr>
                <w:b/>
                <w:bCs/>
              </w:rPr>
              <w:t xml:space="preserve">Declaração de nulidade do despedimento</w:t>
            </w:r>
            <w:r>
              <w:t xml:space="preserve"> </w:t>
            </w:r>
            <w:r>
              <w:t xml:space="preserve">praticado em 20 de janeiro de 2026, com a consequente</w:t>
            </w:r>
            <w:r>
              <w:t xml:space="preserve"> </w:t>
            </w:r>
            <w:r>
              <w:rPr>
                <w:b/>
                <w:bCs/>
              </w:rPr>
              <w:t xml:space="preserve">reintegração do Requerente</w:t>
            </w:r>
            <w:r>
              <w:t xml:space="preserve"> </w:t>
            </w:r>
            <w:r>
              <w:t xml:space="preserve">no seu posto de trabalho, nas mesmas condições contratuais anteriores ao despedimento.</w:t>
            </w:r>
          </w:p>
        </w:tc>
      </w:tr>
      <w:tr>
        <w:tc>
          <w:tcPr/>
          <w:p>
            <w:pPr>
              <w:pStyle w:val="Compact"/>
            </w:pPr>
            <w:r>
              <w:rPr>
                <w:b/>
                <w:bCs/>
              </w:rPr>
              <w:t xml:space="preserve">3.º</w:t>
            </w:r>
          </w:p>
        </w:tc>
        <w:tc>
          <w:tcPr/>
          <w:p>
            <w:pPr>
              <w:pStyle w:val="Compact"/>
            </w:pPr>
            <w:r>
              <w:rPr>
                <w:b/>
                <w:bCs/>
              </w:rPr>
              <w:t xml:space="preserve">Pagamento de salários e demais remunerações</w:t>
            </w:r>
            <w:r>
              <w:t xml:space="preserve"> </w:t>
            </w:r>
            <w:r>
              <w:t xml:space="preserve">(incluindo subsídio de alimentação, subsídio de férias e de Natal) referentes ao período de 20 de janeiro de 2026 até à data de efetiva reintegração, bem como</w:t>
            </w:r>
            <w:r>
              <w:t xml:space="preserve"> </w:t>
            </w:r>
            <w:r>
              <w:rPr>
                <w:b/>
                <w:bCs/>
              </w:rPr>
              <w:t xml:space="preserve">indenização por danos morais</w:t>
            </w:r>
            <w:r>
              <w:t xml:space="preserve"> </w:t>
            </w:r>
            <w:r>
              <w:t xml:space="preserve">no valor de € 5 000,00, nos termos do art. 483.º do CTT.</w:t>
            </w:r>
          </w:p>
        </w:tc>
      </w:tr>
      <w:tr>
        <w:tc>
          <w:tcPr/>
          <w:p>
            <w:pPr>
              <w:pStyle w:val="Compact"/>
            </w:pPr>
            <w:r>
              <w:rPr>
                <w:b/>
                <w:bCs/>
              </w:rPr>
              <w:t xml:space="preserve">4.º</w:t>
            </w:r>
          </w:p>
        </w:tc>
        <w:tc>
          <w:tcPr/>
          <w:p>
            <w:pPr>
              <w:pStyle w:val="Compact"/>
            </w:pPr>
            <w:r>
              <w:rPr>
                <w:b/>
                <w:bCs/>
              </w:rPr>
              <w:t xml:space="preserve">Condenação da Recorrida ao pagamento das custas processuais e dos honorários de advogado</w:t>
            </w:r>
            <w:r>
              <w:t xml:space="preserve">, nos termos do art. 84.º do CPC.</w:t>
            </w:r>
          </w:p>
        </w:tc>
      </w:tr>
      <w:tr>
        <w:tc>
          <w:tcPr/>
          <w:p>
            <w:pPr>
              <w:pStyle w:val="Compact"/>
            </w:pPr>
            <w:r>
              <w:rPr>
                <w:b/>
                <w:bCs/>
              </w:rPr>
              <w:t xml:space="preserve">5.º</w:t>
            </w:r>
          </w:p>
        </w:tc>
        <w:tc>
          <w:tcPr/>
          <w:p>
            <w:pPr>
              <w:pStyle w:val="Compact"/>
            </w:pPr>
            <w:r>
              <w:rPr>
                <w:b/>
                <w:bCs/>
              </w:rPr>
              <w:t xml:space="preserve">Concessão de efeito suspensivo à presente apelação</w:t>
            </w:r>
            <w:r>
              <w:t xml:space="preserve">, nos termos do art. 527.º do CPC, a fim de impedir a execução da sentença recorrida até decisão final da Relação.</w:t>
            </w:r>
          </w:p>
        </w:tc>
      </w:tr>
      <w:tr>
        <w:tc>
          <w:tcPr/>
          <w:p>
            <w:pPr>
              <w:pStyle w:val="Compact"/>
            </w:pPr>
            <w:r>
              <w:rPr>
                <w:b/>
                <w:bCs/>
              </w:rPr>
              <w:t xml:space="preserve">6.º</w:t>
            </w:r>
          </w:p>
        </w:tc>
        <w:tc>
          <w:tcPr/>
          <w:p>
            <w:pPr>
              <w:pStyle w:val="Compact"/>
            </w:pPr>
            <w:r>
              <w:rPr>
                <w:b/>
                <w:bCs/>
              </w:rPr>
              <w:t xml:space="preserve">Produção de prova testemunhal</w:t>
            </w:r>
            <w:r>
              <w:t xml:space="preserve">, designando os seguintes assistentes: (i) Maria Fernandes, funcionária da XYZ, Lda.; (ii) Luís Pereira, técnico de TI da empresa; bem como</w:t>
            </w:r>
            <w:r>
              <w:t xml:space="preserve"> </w:t>
            </w:r>
            <w:r>
              <w:rPr>
                <w:b/>
                <w:bCs/>
              </w:rPr>
              <w:t xml:space="preserve">prova pericial informática</w:t>
            </w:r>
            <w:r>
              <w:t xml:space="preserve"> </w:t>
            </w:r>
            <w:r>
              <w:t xml:space="preserve">para análise do conteúdo do email corporativo em questão.</w:t>
            </w:r>
          </w:p>
        </w:tc>
      </w:tr>
    </w:tbl>
    <w:p>
      <w:r>
        <w:pict>
          <v:rect style="width:0;height:1.5pt" o:hralign="center" o:hrstd="t" o:hr="t"/>
        </w:pict>
      </w:r>
    </w:p>
    <w:bookmarkEnd w:id="18"/>
    <w:bookmarkStart w:id="19" w:name="v.-protesta-por-provas"/>
    <w:p>
      <w:pPr>
        <w:pStyle w:val="Heading3"/>
      </w:pPr>
      <w:r>
        <w:rPr>
          <w:b/>
          <w:bCs/>
        </w:rPr>
        <w:t xml:space="preserve">V. Protesta por Provas</w:t>
      </w:r>
    </w:p>
    <w:p>
      <w:pPr>
        <w:pStyle w:val="FirstParagraph"/>
      </w:pPr>
      <w:r>
        <w:t xml:space="preserve">O Requerente protesta, desde já, por todos os meios de prova admitidos em direito, nomeadamente:</w:t>
      </w:r>
    </w:p>
    <w:p>
      <w:pPr>
        <w:pStyle w:val="Compact"/>
        <w:numPr>
          <w:ilvl w:val="0"/>
          <w:numId w:val="1001"/>
        </w:numPr>
      </w:pPr>
      <w:r>
        <w:rPr>
          <w:b/>
          <w:bCs/>
        </w:rPr>
        <w:t xml:space="preserve">Prova documental:</w:t>
      </w:r>
      <w:r>
        <w:t xml:space="preserve"> </w:t>
      </w:r>
      <w:r>
        <w:t xml:space="preserve">cópia dos emails enviados e recebidos pelo Requerente no período de 1.º de janeiro a 31 de janeiro de 2026; cópia da comunicação verbal de despedimento; registo de horário de trabalho.</w:t>
      </w:r>
      <w:r>
        <w:br/>
      </w:r>
    </w:p>
    <w:p>
      <w:pPr>
        <w:pStyle w:val="Compact"/>
        <w:numPr>
          <w:ilvl w:val="0"/>
          <w:numId w:val="1001"/>
        </w:numPr>
      </w:pPr>
      <w:r>
        <w:rPr>
          <w:b/>
          <w:bCs/>
        </w:rPr>
        <w:t xml:space="preserve">Prova testemunhal:</w:t>
      </w:r>
      <w:r>
        <w:t xml:space="preserve"> </w:t>
      </w:r>
      <w:r>
        <w:t xml:space="preserve">conforme indicado no quadro acima.</w:t>
      </w:r>
      <w:r>
        <w:br/>
      </w:r>
    </w:p>
    <w:p>
      <w:pPr>
        <w:pStyle w:val="Compact"/>
        <w:numPr>
          <w:ilvl w:val="0"/>
          <w:numId w:val="1001"/>
        </w:numPr>
      </w:pPr>
      <w:r>
        <w:rPr>
          <w:b/>
          <w:bCs/>
        </w:rPr>
        <w:t xml:space="preserve">Prova pericial:</w:t>
      </w:r>
      <w:r>
        <w:t xml:space="preserve"> </w:t>
      </w:r>
      <w:r>
        <w:t xml:space="preserve">nomeação de perito informático para avaliação do conteúdo e da natureza das mensagens eletrónicas.</w:t>
      </w:r>
    </w:p>
    <w:p>
      <w:r>
        <w:pict>
          <v:rect style="width:0;height:1.5pt" o:hralign="center" o:hrstd="t" o:hr="t"/>
        </w:pict>
      </w:r>
    </w:p>
    <w:bookmarkEnd w:id="19"/>
    <w:bookmarkStart w:id="20" w:name="vi.-valor-da-causa"/>
    <w:p>
      <w:pPr>
        <w:pStyle w:val="Heading3"/>
      </w:pPr>
      <w:r>
        <w:rPr>
          <w:b/>
          <w:bCs/>
        </w:rPr>
        <w:t xml:space="preserve">VI. Valor da Causa</w:t>
      </w:r>
    </w:p>
    <w:p>
      <w:pPr>
        <w:pStyle w:val="FirstParagraph"/>
      </w:pPr>
      <w:r>
        <w:t xml:space="preserve">Para efeitos de justiça, atribui‑se à presente ação o valor de</w:t>
      </w:r>
      <w:r>
        <w:t xml:space="preserve"> </w:t>
      </w:r>
      <w:r>
        <w:rPr>
          <w:b/>
          <w:bCs/>
        </w:rPr>
        <w:t xml:space="preserve">€ 45 000,00</w:t>
      </w:r>
      <w:r>
        <w:t xml:space="preserve">, correspondente ao total dos salários, subsídios, indemnizações e danos morais pretendidos.</w:t>
      </w:r>
    </w:p>
    <w:p>
      <w:r>
        <w:pict>
          <v:rect style="width:0;height:1.5pt" o:hralign="center" o:hrstd="t" o:hr="t"/>
        </w:pict>
      </w:r>
    </w:p>
    <w:bookmarkEnd w:id="20"/>
    <w:bookmarkStart w:id="21" w:name="vii.-conclusão"/>
    <w:p>
      <w:pPr>
        <w:pStyle w:val="Heading3"/>
      </w:pPr>
      <w:r>
        <w:rPr>
          <w:b/>
          <w:bCs/>
        </w:rPr>
        <w:t xml:space="preserve">VII. Conclusão</w:t>
      </w:r>
    </w:p>
    <w:p>
      <w:pPr>
        <w:pStyle w:val="FirstParagraph"/>
      </w:pPr>
      <w:r>
        <w:t xml:space="preserve">Pelo exposto, o Requerente requer a V. Exa. que:</w:t>
      </w:r>
    </w:p>
    <w:p>
      <w:pPr>
        <w:pStyle w:val="Compact"/>
        <w:numPr>
          <w:ilvl w:val="0"/>
          <w:numId w:val="1002"/>
        </w:numPr>
      </w:pPr>
      <w:r>
        <w:t xml:space="preserve">Seja admitida a presente</w:t>
      </w:r>
      <w:r>
        <w:t xml:space="preserve"> </w:t>
      </w:r>
      <w:r>
        <w:rPr>
          <w:b/>
          <w:bCs/>
        </w:rPr>
        <w:t xml:space="preserve">Apelação</w:t>
      </w:r>
      <w:r>
        <w:t xml:space="preserve">, com efeito suspensivo;</w:t>
      </w:r>
      <w:r>
        <w:br/>
      </w:r>
    </w:p>
    <w:p>
      <w:pPr>
        <w:pStyle w:val="Compact"/>
        <w:numPr>
          <w:ilvl w:val="0"/>
          <w:numId w:val="1002"/>
        </w:numPr>
      </w:pPr>
      <w:r>
        <w:t xml:space="preserve">Seja anulada a sentença recorrida;</w:t>
      </w:r>
      <w:r>
        <w:br/>
      </w:r>
    </w:p>
    <w:p>
      <w:pPr>
        <w:pStyle w:val="Compact"/>
        <w:numPr>
          <w:ilvl w:val="0"/>
          <w:numId w:val="1002"/>
        </w:numPr>
      </w:pPr>
      <w:r>
        <w:t xml:space="preserve">Seja declarada a</w:t>
      </w:r>
      <w:r>
        <w:t xml:space="preserve"> </w:t>
      </w:r>
      <w:r>
        <w:rPr>
          <w:b/>
          <w:bCs/>
        </w:rPr>
        <w:t xml:space="preserve">nulidade do despedimento</w:t>
      </w:r>
      <w:r>
        <w:t xml:space="preserve">, com a consequente</w:t>
      </w:r>
      <w:r>
        <w:t xml:space="preserve"> </w:t>
      </w:r>
      <w:r>
        <w:rPr>
          <w:b/>
          <w:bCs/>
        </w:rPr>
        <w:t xml:space="preserve">reintegração</w:t>
      </w:r>
      <w:r>
        <w:t xml:space="preserve"> </w:t>
      </w:r>
      <w:r>
        <w:t xml:space="preserve">e</w:t>
      </w:r>
      <w:r>
        <w:t xml:space="preserve"> </w:t>
      </w:r>
      <w:r>
        <w:rPr>
          <w:b/>
          <w:bCs/>
        </w:rPr>
        <w:t xml:space="preserve">pagamento das verbas devidas</w:t>
      </w:r>
      <w:r>
        <w:t xml:space="preserve">;</w:t>
      </w:r>
      <w:r>
        <w:br/>
      </w:r>
    </w:p>
    <w:p>
      <w:pPr>
        <w:pStyle w:val="Compact"/>
        <w:numPr>
          <w:ilvl w:val="0"/>
          <w:numId w:val="1002"/>
        </w:numPr>
      </w:pPr>
      <w:r>
        <w:t xml:space="preserve">Seja a Recorrida condenada ao pagamento das custas e honorários;</w:t>
      </w:r>
      <w:r>
        <w:br/>
      </w:r>
    </w:p>
    <w:p>
      <w:pPr>
        <w:pStyle w:val="Compact"/>
        <w:numPr>
          <w:ilvl w:val="0"/>
          <w:numId w:val="1002"/>
        </w:numPr>
      </w:pPr>
      <w:r>
        <w:t xml:space="preserve">Seja deferida a produção de todas as provas requeridas.</w:t>
      </w:r>
    </w:p>
    <w:p>
      <w:pPr>
        <w:pStyle w:val="FirstParagraph"/>
      </w:pPr>
      <w:r>
        <w:t xml:space="preserve">Nestes termos, pede deferimento.</w:t>
      </w:r>
    </w:p>
    <w:p>
      <w:pPr>
        <w:pStyle w:val="BodyText"/>
      </w:pPr>
      <w:r>
        <w:t xml:space="preserve">Lisboa, 22 de fevereiro de 2026</w:t>
      </w:r>
    </w:p>
    <w:p>
      <w:pPr>
        <w:pStyle w:val="BodyText"/>
      </w:pPr>
      <w:r>
        <w:rPr>
          <w:b/>
          <w:bCs/>
        </w:rPr>
        <w:t xml:space="preserve">Dr. António Ribeiro</w:t>
      </w:r>
      <w:r>
        <w:br/>
      </w:r>
      <w:r>
        <w:t xml:space="preserve">OAB nº 12345</w:t>
      </w:r>
    </w:p>
    <w:p>
      <w:pPr>
        <w:pStyle w:val="BodyText"/>
      </w:pPr>
      <w:r>
        <w:rPr>
          <w:b/>
          <w:bCs/>
        </w:rPr>
        <w:t xml:space="preserve">Dra. Sofia Carvalho</w:t>
      </w:r>
      <w:r>
        <w:br/>
      </w:r>
      <w:r>
        <w:t xml:space="preserve">OAB nº 67890</w:t>
      </w:r>
    </w:p>
    <w:bookmarkEnd w:id="21"/>
    <w:bookmarkEnd w:id="2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2026-02-22T18:50:39Z</dcterms:created>
  <dcterms:modified xsi:type="dcterms:W3CDTF">2026-02-22T18:50:39Z</dcterms:modified>
</cp:coreProperties>
</file>

<file path=docProps/custom.xml><?xml version="1.0" encoding="utf-8"?>
<Properties xmlns="http://schemas.openxmlformats.org/officeDocument/2006/custom-properties" xmlns:vt="http://schemas.openxmlformats.org/officeDocument/2006/docPropsVTypes"/>
</file>